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193CBB" w:rsidR="007C2FEE" w:rsidRPr="00865085" w:rsidRDefault="00865085" w:rsidP="007C2FEE">
      <w:pPr>
        <w:pStyle w:val="Head"/>
      </w:pPr>
      <w:r>
        <w:rPr>
          <w:lang w:val="it-IT"/>
        </w:rPr>
        <w:t>Wirtgen │ L’infrastruttura rafforza la crescita e il benessere nel Bacino Permiano</w:t>
      </w:r>
    </w:p>
    <w:p w14:paraId="34A89D42" w14:textId="606C1B44" w:rsidR="007C2FEE" w:rsidRPr="00865085" w:rsidRDefault="00865085" w:rsidP="007C2FEE">
      <w:pPr>
        <w:pStyle w:val="Subhead"/>
      </w:pPr>
      <w:r>
        <w:rPr>
          <w:bCs/>
          <w:iCs w:val="0"/>
          <w:lang w:val="it-IT"/>
        </w:rPr>
        <w:t>Risanamento autostradale nel cuore della regione petrolifera texana</w:t>
      </w:r>
    </w:p>
    <w:p w14:paraId="43A5AB78" w14:textId="32837CE2" w:rsidR="007C2FEE" w:rsidRPr="00865085" w:rsidRDefault="00865085" w:rsidP="007C2FEE">
      <w:pPr>
        <w:pStyle w:val="Teaser"/>
      </w:pPr>
      <w:r>
        <w:rPr>
          <w:bCs/>
          <w:lang w:val="it-IT"/>
        </w:rPr>
        <w:t>Nel Bacino Permiano, il giacimento petrolifero più produttivo degli USA, la tecnologia a casseforme scorrevoli Wirtgen è al centro dell’attenzione per il risanamento della malridotta Interstate 20 tra i principali centri di trasporto del petrolio.</w:t>
      </w:r>
    </w:p>
    <w:p w14:paraId="074FF9E2" w14:textId="7FC9DB28" w:rsidR="007C2FEE" w:rsidRPr="00865085" w:rsidRDefault="00865085" w:rsidP="00865085">
      <w:pPr>
        <w:pStyle w:val="Standardabsatz"/>
      </w:pPr>
      <w:r>
        <w:rPr>
          <w:lang w:val="it-IT"/>
        </w:rPr>
        <w:t xml:space="preserve">Il Bacino Permiano si estende su 220.000 km² tra Texas e Nuovo Mexico. Qui si trova una delle più fruttifere regioni di estrazione petrolifera degli USA, con una quantità alimentata di 4,2 milioni di barili di petrolio greggio (circa 670 milioni di litri) al giorno. L’autostrada più importante, nonché arteria di collegamento principale tra i centri di San Angelo, Midland e Odessa, è l’Interstate 20. A causa dell’intenso e costante traffico pesante, l’infrastruttura autostradale negli ultimi decenni è stata messa a dura prova – le code sono all’ordine del giorno e ostacolano la prestazione economica della regione. </w:t>
      </w:r>
    </w:p>
    <w:p w14:paraId="22320BAD" w14:textId="7DE97C46" w:rsidR="007C2FEE" w:rsidRPr="00865085" w:rsidRDefault="009C704E" w:rsidP="00BC1961">
      <w:pPr>
        <w:pStyle w:val="Absatzberschrift"/>
      </w:pPr>
      <w:r>
        <w:rPr>
          <w:bCs/>
          <w:lang w:val="it-IT"/>
        </w:rPr>
        <w:t>Snellimento del traffico e collegamento regionale</w:t>
      </w:r>
    </w:p>
    <w:p w14:paraId="74F6A4A4" w14:textId="5E3B06F3" w:rsidR="007C2FEE" w:rsidRPr="00865085" w:rsidRDefault="00865085" w:rsidP="007C2FEE">
      <w:pPr>
        <w:pStyle w:val="Standardabsatz"/>
      </w:pPr>
      <w:r>
        <w:rPr>
          <w:lang w:val="it-IT"/>
        </w:rPr>
        <w:t xml:space="preserve">Con l’investimento di 424 milioni di dollari USA per il risanamento del tratto di linea di 18 km tra Midland e Odessa, il ministero texano per la circolazione stradale (TxDOT) dà un segnale, che va nella direzione del sostegno dell’infrastruttura nel settore del petrolio e del gas nel Bacino Permiano. Questi lavori comprendono l’ampliamento delle carreggiate esistenti, nuovi svincoli, la riorganizzazione delle entrate e la trasformazione delle strade a due sensi in strade a senso unico. Grazie all’ampliamento dell’I-20, gli abitanti del Texas potranno approfittare di uno snellimento del traffico e di un migliore collegamento regionale. </w:t>
      </w:r>
    </w:p>
    <w:p w14:paraId="35171BA5" w14:textId="608930E7" w:rsidR="007C2FEE" w:rsidRPr="00865085" w:rsidRDefault="004B49CB" w:rsidP="00BC1961">
      <w:pPr>
        <w:pStyle w:val="Teaserhead"/>
        <w:jc w:val="left"/>
      </w:pPr>
      <w:r>
        <w:rPr>
          <w:bCs/>
          <w:lang w:val="it-IT"/>
        </w:rPr>
        <w:t>Collaborazione pluriennale</w:t>
      </w:r>
    </w:p>
    <w:p w14:paraId="528C4A5A" w14:textId="7FD49ADB" w:rsidR="007C2FEE" w:rsidRPr="00865085" w:rsidRDefault="00865085" w:rsidP="007C2FEE">
      <w:pPr>
        <w:pStyle w:val="Standardabsatz"/>
      </w:pPr>
      <w:r>
        <w:rPr>
          <w:lang w:val="it-IT"/>
        </w:rPr>
        <w:t xml:space="preserve">L’appalto per il progetto con le casseforme scorrevoli è stato assegnato all’impresa Pulice Construction. Fondata nel 1956, l’impresa ha delle consociate in Arizona e Texas, è attiva principalmente negli stati federati del sud-ovest degli USA e fa parte del gruppo di imprese della madrilena Dragados S.A. L’impresa spagnola è una delle maggiori imprese di edilizia del soprassuolo e del sottosuolo al mondo, ha già costruito più di 7.200 chilometri di autostrade, 3.500 chilometri di strade statali e provinciali, 1.500 ponti e 1.400 chilometri di gallerie ed è da anni partner del Wirtgen Group. Pertanto, la Pulice si è rivolta agli esperti tedeschi per ottenere l’equipaggiamento necessario per il progetto. </w:t>
      </w:r>
    </w:p>
    <w:p w14:paraId="3711A9DB" w14:textId="772E6000" w:rsidR="00865085" w:rsidRPr="00865085" w:rsidRDefault="00865085" w:rsidP="007C2FEE">
      <w:pPr>
        <w:pStyle w:val="Standardabsatz"/>
      </w:pPr>
      <w:r>
        <w:rPr>
          <w:lang w:val="it-IT"/>
        </w:rPr>
        <w:t>“Abbiamo scelto le macchine Wirtgen perché sono usate spesso dalla nostra società madre in Europa”, spiega Rod Roglin, Equipment Superintendent di Pulice. Delle nuove macchine acquistate fa parte un potente treno di stesa del calcestruzzo composto dal caricatore laterale WPS 102i, dalla finitrice a casseforme scorrevoli inset SP 94i e dalla macchina per il trattamento superficiale TCM 180i. “Dal nostro punto di vista, queste macchine eccellenti offrono moltissime possibilità”, spiega l’esperto responsabile dell’equipaggiamento.</w:t>
      </w:r>
    </w:p>
    <w:p w14:paraId="017F21BC" w14:textId="4925E898" w:rsidR="00865085" w:rsidRPr="00947BD9" w:rsidRDefault="00865085" w:rsidP="00947BD9">
      <w:pPr>
        <w:pStyle w:val="Absatzberschrift"/>
        <w:rPr>
          <w:b w:val="0"/>
          <w:bCs/>
          <w:i/>
          <w:iCs/>
        </w:rPr>
      </w:pPr>
      <w:bookmarkStart w:id="0" w:name="_Hlk230244679"/>
      <w:r>
        <w:rPr>
          <w:b w:val="0"/>
          <w:i/>
          <w:iCs/>
          <w:lang w:val="it-IT"/>
        </w:rPr>
        <w:lastRenderedPageBreak/>
        <w:t xml:space="preserve">WPS 102i </w:t>
      </w:r>
      <w:bookmarkEnd w:id="0"/>
      <w:r>
        <w:rPr>
          <w:b w:val="0"/>
          <w:i/>
          <w:iCs/>
          <w:lang w:val="it-IT"/>
        </w:rPr>
        <w:t>– distribuzione del calcestruzzo performante e omogenea</w:t>
      </w:r>
    </w:p>
    <w:p w14:paraId="171104BF" w14:textId="54AA7CDF" w:rsidR="00865085" w:rsidRPr="00865085" w:rsidRDefault="00865085" w:rsidP="007C2FEE">
      <w:pPr>
        <w:pStyle w:val="Standardabsatz"/>
      </w:pPr>
      <w:r>
        <w:rPr>
          <w:lang w:val="it-IT"/>
        </w:rPr>
        <w:t xml:space="preserve">Il caricatore laterale a 2 cingoli distribuisce il calcestruzzo su una larghezza da 4 m a 12 m e con uno spessore di 500 mm. Grazie al telaio estensibile a telescopio idraulicamente e alla raschiatrice per calcestruzzo modulare, le larghezze operative possono essere cambiate rapidamente. La </w:t>
      </w:r>
      <w:r>
        <w:rPr>
          <w:i/>
          <w:iCs/>
          <w:lang w:val="it-IT"/>
        </w:rPr>
        <w:t xml:space="preserve">WPS 102i </w:t>
      </w:r>
      <w:r>
        <w:rPr>
          <w:lang w:val="it-IT"/>
        </w:rPr>
        <w:t>è dotata di una configurazione del pannello di comando intelligente, che rende possibili dei processi di lavoro intuitivi. Il nastro convogliatore pieghevole semplifica le manovre delle autobetoniere e facilita così la messa a disposizione del calcestruzzo.</w:t>
      </w:r>
    </w:p>
    <w:p w14:paraId="7B0005AB" w14:textId="165C90B8" w:rsidR="00865085" w:rsidRPr="00947BD9" w:rsidRDefault="00865085" w:rsidP="00947BD9">
      <w:pPr>
        <w:pStyle w:val="Absatzberschrift"/>
        <w:rPr>
          <w:b w:val="0"/>
          <w:bCs/>
          <w:i/>
          <w:iCs/>
        </w:rPr>
      </w:pPr>
      <w:r>
        <w:rPr>
          <w:b w:val="0"/>
          <w:i/>
          <w:iCs/>
          <w:lang w:val="it-IT"/>
        </w:rPr>
        <w:t>SP 94i – finitrice a casseforme scorrevoli inset completamente modulare nella classe da 9 metri</w:t>
      </w:r>
    </w:p>
    <w:p w14:paraId="03A5055A" w14:textId="00911591" w:rsidR="00865085" w:rsidRPr="00865085" w:rsidRDefault="00865085" w:rsidP="00947BD9">
      <w:pPr>
        <w:pStyle w:val="Standardabsatz"/>
        <w:spacing w:after="0"/>
      </w:pPr>
      <w:r>
        <w:rPr>
          <w:lang w:val="it-IT"/>
        </w:rPr>
        <w:t>La SP 94i si caratterizza per l’enorme versatilità d’impiego nei grandi progetti di costruzione stradale e per le larghezze operative da 3,5 m a 9,5 m con spessori fino a 45 cm. L’economica finitrice a casseforme scorrevoli a 4 cingoli dispone di un’attrezzatura calcestruzzo sviluppata per la regione nordamericana. L’attrezzatura calcestruzzo, composta da lama distributrice, cassaforma da pavimentazione con regolazione del profilo a schiena d’asino automatica e inserti di controllo edge slump, motore vibrante idraulico, casseratura laterale divisa e livellatore longitudinale, può essere adattata a tutte le esigenze. I sistemi 3D possono essere integrati perfettamente per mezzo dell’interfaccia nel controllo di macchina e permettono in questo modo la stesa wireless con la massima precisione.</w:t>
      </w:r>
    </w:p>
    <w:p w14:paraId="79B93D22" w14:textId="58F5026A" w:rsidR="00865085" w:rsidRPr="00865085" w:rsidRDefault="00865085" w:rsidP="00865085">
      <w:pPr>
        <w:pStyle w:val="Standardabsatz"/>
      </w:pPr>
      <w:r>
        <w:rPr>
          <w:lang w:val="it-IT"/>
        </w:rPr>
        <w:t>Grazie alla sovrastruttura della macchina modulare, alla semplice possibilità di conversione e ampliamento, ai bracci girevoli / orientabili idraulici e all’angolo di sterzata di 90 gradi, la macchina può essere adeguata rapidamente a qualsiasi situazione in cantiere. Così, entro pochi minuti è possibile passare dalla posizione di trasporto a quella di lavoro, senza che debba essere smontata l’attrezzatura calcestruzzo per la stesa della carreggiata o il livellatore longitudinale. La SP 94i può inoltre essere equipaggiata con un’attrezzatura posa-barre auto-caricante, un dispositivo per l’inserimento di barre di legatura laterali o un dispositivo di posa delle barre di legatura centrale. I sistemi permettono l’inserimento dell’armatura nel corso del processo integrato nella macchina.</w:t>
      </w:r>
    </w:p>
    <w:p w14:paraId="7D65CEDB" w14:textId="7A774193" w:rsidR="00865085" w:rsidRPr="00947BD9" w:rsidRDefault="00865085" w:rsidP="00947BD9">
      <w:pPr>
        <w:pStyle w:val="Absatzberschrift"/>
        <w:rPr>
          <w:b w:val="0"/>
          <w:bCs/>
          <w:i/>
          <w:iCs/>
        </w:rPr>
      </w:pPr>
      <w:r>
        <w:rPr>
          <w:b w:val="0"/>
          <w:i/>
          <w:iCs/>
          <w:lang w:val="it-IT"/>
        </w:rPr>
        <w:t>TCM 180i – struttura superficiale ottimale e protezione delle superfici di calcestruzzo fino a 18 metri</w:t>
      </w:r>
    </w:p>
    <w:p w14:paraId="2954D276" w14:textId="28FC891B" w:rsidR="00865085" w:rsidRPr="00865085" w:rsidRDefault="00865085" w:rsidP="00865085">
      <w:pPr>
        <w:pStyle w:val="Standardabsatz"/>
      </w:pPr>
      <w:r>
        <w:rPr>
          <w:lang w:val="it-IT"/>
        </w:rPr>
        <w:t>La sovrastruttura della macchina modulare della TCM 180i permette un adeguamento alle larghezze operative da 4 m a 18 m. La macchina per il trattamento superficiale semovente realizza le strutture superficiali desiderate sulla superficie in calcestruzzo appena stesa. L’impianto di spruzzatura automatizzato dispone di un grande serbatoio di accumulo e protegge la superficie in calcestruzzo dall’essiccamento prematuro.</w:t>
      </w:r>
    </w:p>
    <w:p w14:paraId="6B0D4E7C" w14:textId="7B24A327" w:rsidR="007C2FEE" w:rsidRPr="00A65CE8" w:rsidRDefault="00A65CE8" w:rsidP="007C2FEE">
      <w:pPr>
        <w:pStyle w:val="Teaserhead"/>
      </w:pPr>
      <w:r>
        <w:rPr>
          <w:bCs/>
          <w:lang w:val="it-IT"/>
        </w:rPr>
        <w:t>Consulenza e istruzione sono state dei fattori di successo decisivi</w:t>
      </w:r>
    </w:p>
    <w:p w14:paraId="7888EB8C" w14:textId="083EAC50" w:rsidR="007C2FEE" w:rsidRPr="00865085" w:rsidRDefault="00865085" w:rsidP="00865085">
      <w:pPr>
        <w:pStyle w:val="Standardabsatz"/>
      </w:pPr>
      <w:r>
        <w:rPr>
          <w:lang w:val="it-IT"/>
        </w:rPr>
        <w:t>Già prima dell’inizio dell’intervento di costruzione, gli esperti di Pulice e Wirtgen hanno raggruppato le squadre e le macchine necessarie. Tutti gli operatori macchina hanno ricevuto un’istruzione sulla loro nuova postazione di lavoro per garantire risultati ottimali. “All’inizio è stato difficile ricordare tutti gli elementi di comando e le procedure”, ha dichiarato Alejandro Guevara, che è stato il primo a occuparsi del controllo del WPS 102i in cantiere. “Ora, tuttavia, mi sento sicuro nel comando della macchina”. E Marcial Loa III ha aggiunto: “È emozionante sapere che abbiamo a disposizione dei nuovi macchinari. Ora vogliamo assolutamente dimostrare ciò di cui sono capaci”.</w:t>
      </w:r>
    </w:p>
    <w:p w14:paraId="494241EE" w14:textId="703DB21C" w:rsidR="00865085" w:rsidRPr="00865085" w:rsidRDefault="00865085" w:rsidP="00865085">
      <w:pPr>
        <w:pStyle w:val="Standardabsatz"/>
      </w:pPr>
      <w:r>
        <w:rPr>
          <w:lang w:val="it-IT"/>
        </w:rPr>
        <w:lastRenderedPageBreak/>
        <w:t>Sotto l’occhio attento di Tim Nash, dal gennaio 2013 Director of Concrete Products per Wirtgen America, le nuove macchine hanno dimostrato tutto il proprio potenziale fin dal primo giorno. La prima impressione di Nash: “Con il calcestruzzo fresco non sono ammesse tolleranze di errori. Oggi, dopo il termine della giornata lavorativa, la Pulice avrà lavorato solo nel primo giorno ben 305 metri cubi di calcestruzzo. Finora tutto è andato per il meglio”. Anche le squadre di stesa sul posto si sono dimostrate entusiaste della tecnologia a casseforme scorrevoli Wirtgen. “In questo progetto apprendiamo costantemente”, spiega Romero Benavides, addetto alla finitura del calcestruzzo alla Pulice Construction, che aggiunge: “Queste esperienze saranno preziose per il prossimo cantiere. Ormai ciascuno conosce la propria posizione e i propri compiti e in futuro potrà lavorare più rapidamente e meglio”.</w:t>
      </w:r>
    </w:p>
    <w:p w14:paraId="5CA71E2D" w14:textId="01736009" w:rsidR="00865085" w:rsidRPr="00865085" w:rsidRDefault="00865085" w:rsidP="00865085">
      <w:pPr>
        <w:pStyle w:val="Standardabsatz"/>
      </w:pPr>
      <w:r>
        <w:rPr>
          <w:lang w:val="it-IT"/>
        </w:rPr>
        <w:t>Per il ministero texano per la circolazione stradale TxDOT e l’amministrazione del circondario di Odessa, sono state spalancate le porte verso il futuro. “La realizzazione di questi progetti per il miglioramento della sicurezza e della mobilità contribuisce notevolmente a rafforzare l’industria di questa regione e le permette di consegnare i propri prodotti al resto del mondo”, ha riepilogato l’ingegnere distrettuale Eric Lykins.</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Pr>
          <w:b/>
          <w:bCs/>
          <w:sz w:val="22"/>
          <w:szCs w:val="22"/>
          <w:lang w:val="it-IT"/>
        </w:rPr>
        <w:t>Foto:</w:t>
      </w:r>
    </w:p>
    <w:p w14:paraId="06345839" w14:textId="77777777" w:rsidR="00BC487A" w:rsidRPr="00865085" w:rsidRDefault="00BC487A" w:rsidP="00BC487A">
      <w:pPr>
        <w:rPr>
          <w:rFonts w:eastAsiaTheme="minorHAnsi" w:cstheme="minorBidi"/>
          <w:b/>
          <w:sz w:val="22"/>
          <w:szCs w:val="24"/>
        </w:rPr>
      </w:pPr>
    </w:p>
    <w:p w14:paraId="10AF8B22" w14:textId="5D635659" w:rsidR="000D357E" w:rsidRDefault="004F310D" w:rsidP="007F7688">
      <w:pPr>
        <w:pStyle w:val="BUbold"/>
        <w:spacing w:after="220"/>
        <w:rPr>
          <w:bCs/>
          <w:lang w:val="it-IT"/>
        </w:rPr>
      </w:pPr>
      <w:r>
        <w:rPr>
          <w:b w:val="0"/>
          <w:noProof/>
          <w:lang w:val="it-IT"/>
        </w:rPr>
        <w:drawing>
          <wp:inline distT="0" distB="0" distL="0" distR="0" wp14:anchorId="7381CA24" wp14:editId="2AF6E95D">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it-IT"/>
        </w:rPr>
        <w:br/>
      </w:r>
      <w:bookmarkStart w:id="1" w:name="_Hlk230341575"/>
      <w:r>
        <w:rPr>
          <w:bCs/>
          <w:lang w:val="it-IT"/>
        </w:rPr>
        <w:t>w_pic_pulice_wps102i_sp94i_tcm180i_0016</w:t>
      </w:r>
      <w:bookmarkEnd w:id="1"/>
      <w:r>
        <w:rPr>
          <w:b w:val="0"/>
          <w:lang w:val="it-IT"/>
        </w:rPr>
        <w:br/>
        <w:t>Il treno di stesa del calcestruzzo Wirtgen – composto dal caricatore laterale WPS 102i, dalla finitrice a casseforme scorrevoli inset SP 94i e dalla macchina per il trattamento superficiale TCM 180i – garantisce una stesa precisa e coordinata della nuova superficie carrabile.</w:t>
      </w:r>
      <w:r>
        <w:rPr>
          <w:bCs/>
          <w:lang w:val="it-IT"/>
        </w:rPr>
        <w:t xml:space="preserve"> </w:t>
      </w:r>
    </w:p>
    <w:p w14:paraId="46F46BB3" w14:textId="77777777" w:rsidR="00CC312C" w:rsidRPr="00CC312C" w:rsidRDefault="00CC312C" w:rsidP="00CC312C">
      <w:pPr>
        <w:pStyle w:val="BUnormal"/>
        <w:rPr>
          <w:lang w:val="it-IT"/>
        </w:rPr>
      </w:pPr>
    </w:p>
    <w:p w14:paraId="6BBBB646" w14:textId="12DEA86D" w:rsidR="007C2FEE" w:rsidRPr="00865085" w:rsidRDefault="004F310D" w:rsidP="007C2FEE">
      <w:pPr>
        <w:pStyle w:val="BUbold"/>
      </w:pPr>
      <w:r>
        <w:rPr>
          <w:b w:val="0"/>
          <w:noProof/>
          <w:lang w:val="it-IT"/>
        </w:rPr>
        <w:drawing>
          <wp:inline distT="0" distB="0" distL="0" distR="0" wp14:anchorId="60515344" wp14:editId="7865DE52">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it-IT"/>
        </w:rPr>
        <w:br/>
      </w:r>
      <w:bookmarkStart w:id="2" w:name="_Hlk230341589"/>
      <w:r>
        <w:rPr>
          <w:bCs/>
          <w:lang w:val="it-IT"/>
        </w:rPr>
        <w:t>w_pic_pulice_wps102i_0014</w:t>
      </w:r>
      <w:bookmarkEnd w:id="2"/>
    </w:p>
    <w:p w14:paraId="01C2D456" w14:textId="4936658A" w:rsidR="004F310D" w:rsidRDefault="004F310D" w:rsidP="007F7688">
      <w:pPr>
        <w:pStyle w:val="BUnormal"/>
      </w:pPr>
      <w:r>
        <w:rPr>
          <w:lang w:val="it-IT"/>
        </w:rPr>
        <w:t xml:space="preserve">Wirtgen WPS 102i: il caricatore laterale a 2 cingoli distribuisce il calcestruzzo su una larghezza da 4 m a 12 m e con uno spessore di 500 mm. </w:t>
      </w:r>
    </w:p>
    <w:p w14:paraId="2A58A85B" w14:textId="10122C0B" w:rsidR="004F310D" w:rsidRPr="004F310D" w:rsidRDefault="004F310D" w:rsidP="004F310D">
      <w:pPr>
        <w:pStyle w:val="BUbold"/>
        <w:rPr>
          <w:b w:val="0"/>
          <w:bCs/>
        </w:rPr>
      </w:pPr>
      <w:r>
        <w:rPr>
          <w:b w:val="0"/>
          <w:noProof/>
          <w:lang w:val="it-IT"/>
        </w:rPr>
        <w:lastRenderedPageBreak/>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it-IT"/>
        </w:rPr>
        <w:br/>
      </w:r>
      <w:bookmarkStart w:id="3" w:name="_Hlk230341598"/>
      <w:r>
        <w:rPr>
          <w:bCs/>
          <w:lang w:val="it-IT"/>
        </w:rPr>
        <w:t>w_pic_pulice_sp94i_0003</w:t>
      </w:r>
      <w:bookmarkEnd w:id="3"/>
      <w:r>
        <w:rPr>
          <w:b w:val="0"/>
          <w:lang w:val="it-IT"/>
        </w:rPr>
        <w:br/>
        <w:t xml:space="preserve">La finitrice a casseforme scorrevoli inset SP 94i di Wirtgen dispone di un’attrezzatura calcestruzzo sviluppata per le esigenze del mercato nordamericano. </w:t>
      </w:r>
    </w:p>
    <w:p w14:paraId="263F7EFC" w14:textId="2BC6B901" w:rsidR="004F310D" w:rsidRDefault="004F310D" w:rsidP="004F310D">
      <w:pPr>
        <w:pStyle w:val="BUnormal"/>
      </w:pPr>
    </w:p>
    <w:p w14:paraId="776754B5" w14:textId="76FA5EE3" w:rsidR="007F7688" w:rsidRPr="004F310D" w:rsidRDefault="007F7688" w:rsidP="007F7688">
      <w:pPr>
        <w:pStyle w:val="BUbold"/>
        <w:rPr>
          <w:b w:val="0"/>
          <w:bCs/>
        </w:rPr>
      </w:pPr>
      <w:r>
        <w:rPr>
          <w:b w:val="0"/>
          <w:noProof/>
          <w:lang w:val="it-IT"/>
        </w:rPr>
        <w:drawing>
          <wp:inline distT="0" distB="0" distL="0" distR="0" wp14:anchorId="5229AC46" wp14:editId="23C2E867">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it-IT"/>
        </w:rPr>
        <w:br/>
      </w:r>
      <w:bookmarkStart w:id="4" w:name="_Hlk230341615"/>
      <w:r>
        <w:rPr>
          <w:bCs/>
          <w:lang w:val="it-IT"/>
        </w:rPr>
        <w:t>w_pic_pulice_tcm180i_0008</w:t>
      </w:r>
      <w:bookmarkEnd w:id="4"/>
      <w:r>
        <w:rPr>
          <w:b w:val="0"/>
          <w:lang w:val="it-IT"/>
        </w:rPr>
        <w:br/>
        <w:t>La macchina per post-trattamento semovente TCM 180i realizza la finitura desiderata sulla superficie in calcestruzzo appena gettato in opera.</w:t>
      </w:r>
    </w:p>
    <w:p w14:paraId="17C52010" w14:textId="77777777" w:rsidR="004F310D" w:rsidRPr="00865085" w:rsidRDefault="004F310D" w:rsidP="004F310D">
      <w:pPr>
        <w:pStyle w:val="BUnormal"/>
      </w:pPr>
    </w:p>
    <w:p w14:paraId="41BFEB0C" w14:textId="3D86EB6A" w:rsidR="00BE6237" w:rsidRPr="00865085" w:rsidRDefault="00BE6237" w:rsidP="00BE6237">
      <w:pPr>
        <w:rPr>
          <w:sz w:val="22"/>
          <w:szCs w:val="22"/>
        </w:rPr>
      </w:pPr>
      <w:r>
        <w:rPr>
          <w:b/>
          <w:bCs/>
          <w:sz w:val="22"/>
          <w:szCs w:val="22"/>
          <w:lang w:val="it-IT"/>
        </w:rPr>
        <w:t>Video:</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lang w:val="it-IT"/>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CC312C" w:rsidP="00BE6237">
      <w:pPr>
        <w:spacing w:after="160" w:line="278" w:lineRule="auto"/>
      </w:pPr>
      <w:hyperlink r:id="rId13" w:history="1">
        <w:r w:rsidR="00A6221E">
          <w:rPr>
            <w:rStyle w:val="Hyperlink"/>
            <w:sz w:val="20"/>
            <w:szCs w:val="20"/>
            <w:lang w:val="it-IT"/>
          </w:rPr>
          <w:t>Cliccate qui per visualizzare il video.</w:t>
        </w:r>
      </w:hyperlink>
    </w:p>
    <w:bookmarkStart w:id="5" w:name="_Hlk177486135"/>
    <w:p w14:paraId="431F870A" w14:textId="77777777" w:rsidR="00BE6237" w:rsidRPr="00865085" w:rsidRDefault="00BE6237" w:rsidP="00BE6237">
      <w:pPr>
        <w:snapToGrid w:val="0"/>
        <w:contextualSpacing/>
        <w:rPr>
          <w:rFonts w:eastAsia="Times New Roman"/>
          <w:b/>
          <w:iCs/>
          <w:color w:val="0070C0"/>
          <w:sz w:val="20"/>
          <w:szCs w:val="20"/>
        </w:rPr>
      </w:pPr>
      <w:r>
        <w:rPr>
          <w:rFonts w:eastAsia="Times New Roman"/>
          <w:color w:val="0070C0"/>
          <w:sz w:val="20"/>
          <w:szCs w:val="20"/>
          <w:lang w:val="it-IT"/>
        </w:rPr>
        <w:fldChar w:fldCharType="begin"/>
      </w:r>
      <w:r>
        <w:rPr>
          <w:rFonts w:eastAsia="Times New Roman"/>
          <w:color w:val="0070C0"/>
          <w:sz w:val="20"/>
          <w:szCs w:val="20"/>
          <w:lang w:val="it-IT"/>
        </w:rPr>
        <w:instrText>HYPERLINK "https://www.youtube.com/@WirtgenGroup"</w:instrText>
      </w:r>
      <w:r>
        <w:rPr>
          <w:rFonts w:eastAsia="Times New Roman"/>
          <w:color w:val="0070C0"/>
          <w:sz w:val="20"/>
          <w:szCs w:val="20"/>
          <w:lang w:val="it-IT"/>
        </w:rPr>
        <w:fldChar w:fldCharType="separate"/>
      </w:r>
      <w:r>
        <w:rPr>
          <w:rFonts w:eastAsia="Times New Roman"/>
          <w:b/>
          <w:bCs/>
          <w:color w:val="0070C0"/>
          <w:sz w:val="20"/>
          <w:szCs w:val="20"/>
          <w:u w:val="single"/>
          <w:lang w:val="it-IT"/>
        </w:rPr>
        <w:t>Ulteriori video sono disponibili sul canale YouTube del Wirtgen Group</w:t>
      </w:r>
      <w:r>
        <w:rPr>
          <w:rFonts w:eastAsia="Times New Roman"/>
          <w:b/>
          <w:bCs/>
          <w:color w:val="0070C0"/>
          <w:sz w:val="20"/>
          <w:szCs w:val="20"/>
          <w:u w:val="single"/>
          <w:lang w:val="it-IT"/>
        </w:rPr>
        <w:fldChar w:fldCharType="end"/>
      </w:r>
      <w:r>
        <w:rPr>
          <w:rFonts w:eastAsia="Times New Roman"/>
          <w:b/>
          <w:bCs/>
          <w:color w:val="0070C0"/>
          <w:sz w:val="20"/>
          <w:szCs w:val="20"/>
          <w:u w:val="single"/>
          <w:lang w:val="it-IT"/>
        </w:rPr>
        <w:t>.</w:t>
      </w:r>
    </w:p>
    <w:bookmarkEnd w:id="5"/>
    <w:p w14:paraId="111084B6" w14:textId="77777777" w:rsidR="00BE6237" w:rsidRPr="00865085" w:rsidRDefault="00BE6237" w:rsidP="003855F5">
      <w:pPr>
        <w:pStyle w:val="BUnormal"/>
      </w:pPr>
    </w:p>
    <w:p w14:paraId="67E83AFA" w14:textId="123EC839" w:rsidR="004F310D" w:rsidRDefault="00714D6B" w:rsidP="00A96B2E">
      <w:pPr>
        <w:pStyle w:val="Note"/>
      </w:pPr>
      <w:r>
        <w:rPr>
          <w:iCs/>
          <w:lang w:val="it-IT"/>
        </w:rPr>
        <w:t>Avvertenza: queste foto sono a puro scopo esemplificativo. Per la stampa nelle varie pubblicazioni si prega di utilizzare le foto da 300 dpi di risoluzione disponibili per il download.</w:t>
      </w:r>
    </w:p>
    <w:p w14:paraId="41346621" w14:textId="77777777" w:rsidR="00980313" w:rsidRPr="00865085" w:rsidRDefault="00980313" w:rsidP="00A96B2E">
      <w:pPr>
        <w:pStyle w:val="Note"/>
      </w:pPr>
    </w:p>
    <w:p w14:paraId="58D5E307" w14:textId="77777777" w:rsidR="00CC312C" w:rsidRDefault="00CC312C">
      <w:pPr>
        <w:rPr>
          <w:rFonts w:eastAsiaTheme="minorHAnsi" w:cstheme="minorBidi"/>
          <w:b/>
          <w:bCs/>
          <w:sz w:val="22"/>
          <w:szCs w:val="24"/>
          <w:lang w:val="it-IT"/>
        </w:rPr>
      </w:pPr>
      <w:r>
        <w:rPr>
          <w:bCs/>
          <w:lang w:val="it-IT"/>
        </w:rPr>
        <w:br w:type="page"/>
      </w:r>
    </w:p>
    <w:p w14:paraId="717825D0" w14:textId="29D483ED" w:rsidR="00B409DF" w:rsidRPr="00865085" w:rsidRDefault="00B409DF" w:rsidP="00B409DF">
      <w:pPr>
        <w:pStyle w:val="Absatzberschrift"/>
        <w:rPr>
          <w:iCs/>
        </w:rPr>
      </w:pPr>
      <w:r>
        <w:rPr>
          <w:bCs/>
          <w:lang w:val="it-IT"/>
        </w:rPr>
        <w:lastRenderedPageBreak/>
        <w:t>È possibile reperire ulteriori informazioni presso:</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Pr>
          <w:b w:val="0"/>
          <w:lang w:val="it-IT"/>
        </w:rPr>
        <w:t>WIRTGEN GROUP</w:t>
      </w:r>
    </w:p>
    <w:p w14:paraId="392C6846" w14:textId="77777777" w:rsidR="00B409DF" w:rsidRPr="00865085" w:rsidRDefault="00B409DF" w:rsidP="00B409DF">
      <w:pPr>
        <w:pStyle w:val="Fuzeile1"/>
      </w:pPr>
      <w:r>
        <w:rPr>
          <w:bCs w:val="0"/>
          <w:iCs w:val="0"/>
          <w:lang w:val="it-IT"/>
        </w:rPr>
        <w:t>Public Relations</w:t>
      </w:r>
    </w:p>
    <w:p w14:paraId="77A90FFB" w14:textId="77777777" w:rsidR="00B409DF" w:rsidRPr="00865085" w:rsidRDefault="00B409DF" w:rsidP="00B409DF">
      <w:pPr>
        <w:pStyle w:val="Fuzeile1"/>
      </w:pPr>
      <w:r>
        <w:rPr>
          <w:bCs w:val="0"/>
          <w:iCs w:val="0"/>
          <w:lang w:val="it-IT"/>
        </w:rPr>
        <w:t>Reinhard-Wirtgen-Straße 2</w:t>
      </w:r>
    </w:p>
    <w:p w14:paraId="2BD7061F" w14:textId="77777777" w:rsidR="00B409DF" w:rsidRPr="00865085" w:rsidRDefault="00B409DF" w:rsidP="00B409DF">
      <w:pPr>
        <w:pStyle w:val="Fuzeile1"/>
      </w:pPr>
      <w:r>
        <w:rPr>
          <w:bCs w:val="0"/>
          <w:iCs w:val="0"/>
          <w:lang w:val="it-IT"/>
        </w:rPr>
        <w:t>53578 Windhagen</w:t>
      </w:r>
    </w:p>
    <w:p w14:paraId="7312A980" w14:textId="77777777" w:rsidR="00B409DF" w:rsidRPr="00865085" w:rsidRDefault="00B409DF" w:rsidP="00B409DF">
      <w:pPr>
        <w:pStyle w:val="Fuzeile1"/>
      </w:pPr>
      <w:r>
        <w:rPr>
          <w:bCs w:val="0"/>
          <w:iCs w:val="0"/>
          <w:lang w:val="it-IT"/>
        </w:rPr>
        <w:t>Germania</w:t>
      </w:r>
    </w:p>
    <w:p w14:paraId="2DFD9654" w14:textId="77777777" w:rsidR="00B409DF" w:rsidRPr="00865085" w:rsidRDefault="00B409DF" w:rsidP="00B409DF">
      <w:pPr>
        <w:pStyle w:val="Fuzeile1"/>
      </w:pPr>
    </w:p>
    <w:p w14:paraId="747CCDAF" w14:textId="78D0EB80" w:rsidR="00B409DF" w:rsidRPr="00865085" w:rsidRDefault="00B409DF" w:rsidP="00B409DF">
      <w:pPr>
        <w:pStyle w:val="Fuzeile1"/>
        <w:rPr>
          <w:rFonts w:ascii="Times New Roman" w:hAnsi="Times New Roman" w:cs="Times New Roman"/>
        </w:rPr>
      </w:pPr>
      <w:r>
        <w:rPr>
          <w:bCs w:val="0"/>
          <w:iCs w:val="0"/>
          <w:lang w:val="it-IT"/>
        </w:rPr>
        <w:t>Telefono:</w:t>
      </w:r>
      <w:r>
        <w:rPr>
          <w:bCs w:val="0"/>
          <w:iCs w:val="0"/>
          <w:lang w:val="it-IT"/>
        </w:rPr>
        <w:tab/>
        <w:t>+49 (0) 2645 131 – 1966</w:t>
      </w:r>
    </w:p>
    <w:p w14:paraId="72EBA31D" w14:textId="369121F8" w:rsidR="00B409DF" w:rsidRPr="00865085" w:rsidRDefault="00B409DF" w:rsidP="00B409DF">
      <w:pPr>
        <w:pStyle w:val="Fuzeile1"/>
      </w:pPr>
      <w:r>
        <w:rPr>
          <w:bCs w:val="0"/>
          <w:iCs w:val="0"/>
          <w:lang w:val="it-IT"/>
        </w:rPr>
        <w:t>Telefax:</w:t>
      </w:r>
      <w:r>
        <w:rPr>
          <w:bCs w:val="0"/>
          <w:iCs w:val="0"/>
          <w:lang w:val="it-IT"/>
        </w:rPr>
        <w:tab/>
        <w:t>+49 (0) 2645 131 – 499</w:t>
      </w:r>
    </w:p>
    <w:p w14:paraId="54DD8925" w14:textId="01E7877D" w:rsidR="00B409DF" w:rsidRPr="00865085" w:rsidRDefault="00B409DF" w:rsidP="00B409DF">
      <w:pPr>
        <w:pStyle w:val="Fuzeile1"/>
      </w:pPr>
      <w:r>
        <w:rPr>
          <w:bCs w:val="0"/>
          <w:iCs w:val="0"/>
          <w:lang w:val="it-IT"/>
        </w:rPr>
        <w:t>E-mail:</w:t>
      </w:r>
      <w:r>
        <w:rPr>
          <w:bCs w:val="0"/>
          <w:iCs w:val="0"/>
          <w:lang w:val="it-IT"/>
        </w:rPr>
        <w:tab/>
      </w:r>
      <w:hyperlink r:id="rId14" w:history="1">
        <w:r>
          <w:rPr>
            <w:rStyle w:val="Hyperlink"/>
            <w:bCs w:val="0"/>
            <w:iCs w:val="0"/>
            <w:lang w:val="it-IT"/>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CC312C" w:rsidP="00B409DF">
      <w:pPr>
        <w:pStyle w:val="Fuzeile1"/>
      </w:pPr>
      <w:hyperlink r:id="rId15" w:history="1">
        <w:r w:rsidR="00A6221E">
          <w:rPr>
            <w:rStyle w:val="Hyperlink"/>
            <w:bCs w:val="0"/>
            <w:iCs w:val="0"/>
            <w:lang w:val="it-IT"/>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it-IT"/>
            </w:rPr>
            <w:t>WIRTGEN GmbH</w:t>
          </w:r>
          <w:r>
            <w:rPr>
              <w:szCs w:val="20"/>
              <w:lang w:val="it-IT"/>
            </w:rPr>
            <w:t xml:space="preserve"> · Reinhard-Wirtgen-Str. 2 · D-53578 Windhagen · Tel.: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it-IT"/>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it-IT"/>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A2F91A9" w:rsidR="00615CDA" w:rsidRPr="00615CDA" w:rsidRDefault="007F7688">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it-IT"/>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0484"/>
    <w:rsid w:val="00384A08"/>
    <w:rsid w:val="003850A9"/>
    <w:rsid w:val="003855F5"/>
    <w:rsid w:val="003967E5"/>
    <w:rsid w:val="003A753A"/>
    <w:rsid w:val="003B1C4E"/>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8A6"/>
    <w:rsid w:val="007D0EFA"/>
    <w:rsid w:val="007D59A2"/>
    <w:rsid w:val="007E20D0"/>
    <w:rsid w:val="007E3DAB"/>
    <w:rsid w:val="007F7688"/>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4EC3"/>
    <w:rsid w:val="00A46F1E"/>
    <w:rsid w:val="00A6221E"/>
    <w:rsid w:val="00A65CE8"/>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312C"/>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17FEC"/>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1305</Words>
  <Characters>8227</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9513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7</cp:revision>
  <cp:lastPrinted>2021-10-20T14:00:00Z</cp:lastPrinted>
  <dcterms:created xsi:type="dcterms:W3CDTF">2026-05-21T06:42:00Z</dcterms:created>
  <dcterms:modified xsi:type="dcterms:W3CDTF">2026-06-15T07:36:00Z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